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96" w:rsidRDefault="00887596" w:rsidP="00887596">
      <w:pPr>
        <w:shd w:val="clear" w:color="auto" w:fill="FFFFFF"/>
        <w:spacing w:before="120"/>
        <w:jc w:val="center"/>
        <w:rPr>
          <w:rFonts w:cstheme="minorHAnsi"/>
          <w:b/>
          <w:bCs/>
          <w:w w:val="95"/>
          <w:sz w:val="28"/>
          <w:szCs w:val="28"/>
        </w:rPr>
      </w:pPr>
      <w:r>
        <w:rPr>
          <w:rFonts w:cstheme="minorHAnsi"/>
          <w:b/>
          <w:bCs/>
          <w:w w:val="95"/>
          <w:sz w:val="28"/>
          <w:szCs w:val="28"/>
        </w:rPr>
        <w:t>DR 11</w:t>
      </w:r>
    </w:p>
    <w:p w:rsidR="000C6959" w:rsidRDefault="000C6959" w:rsidP="000C6959">
      <w:pPr>
        <w:shd w:val="clear" w:color="auto" w:fill="FFFFFF"/>
        <w:spacing w:before="120"/>
        <w:jc w:val="both"/>
        <w:rPr>
          <w:rFonts w:cstheme="minorHAnsi"/>
          <w:b/>
          <w:bCs/>
          <w:w w:val="95"/>
          <w:sz w:val="28"/>
          <w:szCs w:val="28"/>
        </w:rPr>
      </w:pPr>
      <w:r w:rsidRPr="00AD145A">
        <w:rPr>
          <w:rFonts w:cstheme="minorHAnsi"/>
          <w:b/>
          <w:bCs/>
          <w:w w:val="95"/>
          <w:sz w:val="28"/>
          <w:szCs w:val="28"/>
        </w:rPr>
        <w:t xml:space="preserve">DECLARACIÓN </w:t>
      </w:r>
      <w:r w:rsidR="00976B8C">
        <w:rPr>
          <w:rFonts w:cstheme="minorHAnsi"/>
          <w:b/>
          <w:bCs/>
          <w:w w:val="95"/>
          <w:sz w:val="28"/>
          <w:szCs w:val="28"/>
        </w:rPr>
        <w:t xml:space="preserve">RESPONSABLE </w:t>
      </w:r>
      <w:r w:rsidRPr="00AD145A">
        <w:rPr>
          <w:rFonts w:cstheme="minorHAnsi"/>
          <w:b/>
          <w:bCs/>
          <w:w w:val="95"/>
          <w:sz w:val="28"/>
          <w:szCs w:val="28"/>
        </w:rPr>
        <w:t>DE COMPROMISO A LA CESIÓN Y TRATAMIENTO DE DATOS EN RELACIÓN CON LA EJECUCIÓN DE ACTUACIONES DEL PLAN DE RECUPERACIÓN, TRANSFORMACIÓN Y RESILIENCIA</w:t>
      </w:r>
      <w:r w:rsidR="00F1593A">
        <w:rPr>
          <w:rFonts w:cstheme="minorHAnsi"/>
          <w:b/>
          <w:bCs/>
          <w:w w:val="95"/>
          <w:sz w:val="28"/>
          <w:szCs w:val="28"/>
        </w:rPr>
        <w:t>-</w:t>
      </w:r>
      <w:r w:rsidRPr="00AD145A">
        <w:rPr>
          <w:rFonts w:cstheme="minorHAnsi"/>
          <w:b/>
          <w:bCs/>
          <w:w w:val="95"/>
          <w:sz w:val="28"/>
          <w:szCs w:val="28"/>
        </w:rPr>
        <w:t>PRTR</w:t>
      </w:r>
      <w:r w:rsidR="00F1593A">
        <w:rPr>
          <w:rFonts w:cstheme="minorHAnsi"/>
          <w:b/>
          <w:bCs/>
          <w:w w:val="95"/>
          <w:sz w:val="28"/>
          <w:szCs w:val="28"/>
        </w:rPr>
        <w:t xml:space="preserve"> </w:t>
      </w:r>
    </w:p>
    <w:p w:rsidR="00F3643E" w:rsidRDefault="00F3643E" w:rsidP="00AD145A">
      <w:pPr>
        <w:jc w:val="both"/>
        <w:rPr>
          <w:rFonts w:cstheme="minorHAnsi"/>
          <w:b/>
        </w:rPr>
      </w:pPr>
      <w:r>
        <w:rPr>
          <w:rFonts w:cstheme="minorHAnsi"/>
          <w:b/>
        </w:rPr>
        <w:t>Entidad:</w:t>
      </w:r>
    </w:p>
    <w:p w:rsidR="00F3643E" w:rsidRDefault="00F3643E" w:rsidP="00AD145A">
      <w:pPr>
        <w:jc w:val="both"/>
        <w:rPr>
          <w:rFonts w:cstheme="minorHAnsi"/>
          <w:b/>
        </w:rPr>
      </w:pPr>
      <w:r>
        <w:rPr>
          <w:rFonts w:cstheme="minorHAnsi"/>
          <w:b/>
        </w:rPr>
        <w:t>Proyecto:</w:t>
      </w:r>
    </w:p>
    <w:p w:rsidR="00AD145A" w:rsidRPr="00F3643E" w:rsidRDefault="00AD145A" w:rsidP="00AD145A">
      <w:pPr>
        <w:jc w:val="both"/>
        <w:rPr>
          <w:rFonts w:cstheme="minorHAnsi"/>
          <w:b/>
        </w:rPr>
      </w:pPr>
      <w:proofErr w:type="gramStart"/>
      <w:r w:rsidRPr="00F3643E">
        <w:rPr>
          <w:rFonts w:cstheme="minorHAnsi"/>
        </w:rPr>
        <w:t>D./</w:t>
      </w:r>
      <w:proofErr w:type="gramEnd"/>
      <w:r w:rsidRPr="00F3643E">
        <w:rPr>
          <w:rFonts w:cstheme="minorHAnsi"/>
        </w:rPr>
        <w:t xml:space="preserve">Dª………………………………..…………….. con N.I.F ………….., en calidad de representante legal de la Entidad ………………………….… con C.I.F……………………..….., y domicilio a efectos de notificación en …………………………………..………, municipio de …………………….…., código postal …………….. </w:t>
      </w:r>
      <w:proofErr w:type="gramStart"/>
      <w:r w:rsidR="00F3643E">
        <w:rPr>
          <w:rFonts w:cstheme="minorHAnsi"/>
        </w:rPr>
        <w:t>como</w:t>
      </w:r>
      <w:proofErr w:type="gramEnd"/>
      <w:r w:rsidR="00F3643E">
        <w:rPr>
          <w:rFonts w:cstheme="minorHAnsi"/>
        </w:rPr>
        <w:t xml:space="preserve"> perceptora de subvención financiada con recursos provenientes del Plan de Recuperación, Transformación y Resiliencia del Mecanismo de Recuperación y Resiliencia </w:t>
      </w:r>
      <w:proofErr w:type="spellStart"/>
      <w:r w:rsidR="00F3643E">
        <w:rPr>
          <w:rFonts w:cstheme="minorHAnsi"/>
        </w:rPr>
        <w:t>Next</w:t>
      </w:r>
      <w:proofErr w:type="spellEnd"/>
      <w:r w:rsidR="00F3643E">
        <w:rPr>
          <w:rFonts w:cstheme="minorHAnsi"/>
        </w:rPr>
        <w:t xml:space="preserve"> </w:t>
      </w:r>
      <w:proofErr w:type="spellStart"/>
      <w:r w:rsidR="00F3643E">
        <w:rPr>
          <w:rFonts w:cstheme="minorHAnsi"/>
        </w:rPr>
        <w:t>Generation</w:t>
      </w:r>
      <w:proofErr w:type="spellEnd"/>
      <w:r w:rsidR="00F3643E">
        <w:rPr>
          <w:rFonts w:cstheme="minorHAnsi"/>
        </w:rPr>
        <w:t xml:space="preserve"> EU, en la Comunidad Autónoma de la Región </w:t>
      </w:r>
      <w:r w:rsidR="00F3643E" w:rsidRPr="00F1593A">
        <w:rPr>
          <w:rFonts w:cstheme="minorHAnsi"/>
        </w:rPr>
        <w:t>de Murcia,</w:t>
      </w:r>
      <w:r w:rsidR="00F3643E" w:rsidRPr="00F3643E">
        <w:rPr>
          <w:rFonts w:cstheme="minorHAnsi"/>
          <w:b/>
        </w:rPr>
        <w:t xml:space="preserve"> </w:t>
      </w:r>
    </w:p>
    <w:p w:rsidR="00E05D80" w:rsidRPr="00F3643E" w:rsidRDefault="00F3643E" w:rsidP="00AD145A">
      <w:pPr>
        <w:jc w:val="both"/>
        <w:rPr>
          <w:rFonts w:cstheme="minorHAnsi"/>
        </w:rPr>
      </w:pPr>
      <w:r w:rsidRPr="00F3643E">
        <w:rPr>
          <w:rFonts w:cstheme="minorHAnsi"/>
          <w:b/>
        </w:rPr>
        <w:t xml:space="preserve">HABIENDO DECLARADO </w:t>
      </w:r>
      <w:r w:rsidRPr="00F3643E">
        <w:rPr>
          <w:rFonts w:cstheme="minorHAnsi"/>
        </w:rPr>
        <w:t>en el procedimiento</w:t>
      </w:r>
      <w:r>
        <w:rPr>
          <w:rFonts w:cstheme="minorHAnsi"/>
        </w:rPr>
        <w:t xml:space="preserve"> de obtención de la solicitada subvención conocer la normativa que es de aplicación, </w:t>
      </w:r>
      <w:r w:rsidRPr="00F3643E">
        <w:rPr>
          <w:rFonts w:cstheme="minorHAnsi"/>
        </w:rPr>
        <w:t>en particular los siguientes apartados del artículo 22, del Reglamento (UE) 2021/241 del Parlamento Europeo y del Consejo, de 12 de febrero de 2021, por el que se establece el Mecanismo de Recuperación y Resiliencia:</w:t>
      </w:r>
    </w:p>
    <w:p w:rsidR="000C6959" w:rsidRPr="000C6959" w:rsidRDefault="000C6959" w:rsidP="00F3643E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59" w:after="0" w:line="240" w:lineRule="auto"/>
        <w:ind w:left="0" w:right="525" w:firstLine="566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50"/>
        </w:tabs>
        <w:autoSpaceDE w:val="0"/>
        <w:autoSpaceDN w:val="0"/>
        <w:spacing w:after="0" w:line="240" w:lineRule="auto"/>
        <w:ind w:left="720"/>
        <w:jc w:val="both"/>
        <w:rPr>
          <w:rFonts w:eastAsia="Verdana" w:cstheme="minorHAnsi"/>
          <w:sz w:val="24"/>
          <w:szCs w:val="24"/>
        </w:rPr>
      </w:pPr>
      <w:bookmarkStart w:id="0" w:name="_GoBack"/>
      <w:bookmarkEnd w:id="0"/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nombre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perceptor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final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pacing w:val="-2"/>
          <w:sz w:val="24"/>
          <w:szCs w:val="24"/>
        </w:rPr>
        <w:t>fondos.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21" w:after="0" w:line="254" w:lineRule="auto"/>
        <w:ind w:left="721" w:right="530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30" w:after="0" w:line="266" w:lineRule="auto"/>
        <w:ind w:left="721" w:right="525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los nombres, apellidos y fechas de nacimiento de los titulares reales del perceptor de los fondos o del contratista,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según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se define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en el artículo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3, punto 6,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 la Directiva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(UE) 2015/849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Parlamento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Europeo y del Consejo (26);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17" w:after="0" w:line="266" w:lineRule="auto"/>
        <w:ind w:left="721" w:right="523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una lista de medidas para la ejecución de reformas y proyectos de inversión en el marco del plan de recuperación y resiliencia, junto con el importe total de la financiación pública de dichas medidas y que indique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cuantía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fondos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desembolsados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marco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 Mecanismo y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otros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fondos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Unión».</w:t>
      </w:r>
    </w:p>
    <w:p w:rsidR="000C6959" w:rsidRPr="000C6959" w:rsidRDefault="000C6959" w:rsidP="000C6959">
      <w:pPr>
        <w:widowControl w:val="0"/>
        <w:autoSpaceDE w:val="0"/>
        <w:autoSpaceDN w:val="0"/>
        <w:spacing w:before="191" w:after="0" w:line="240" w:lineRule="auto"/>
        <w:rPr>
          <w:rFonts w:eastAsia="Verdana" w:cstheme="minorHAnsi"/>
          <w:sz w:val="24"/>
          <w:szCs w:val="24"/>
        </w:rPr>
      </w:pPr>
    </w:p>
    <w:p w:rsidR="000C6959" w:rsidRPr="000C6959" w:rsidRDefault="000C6959" w:rsidP="000C6959">
      <w:pPr>
        <w:widowControl w:val="0"/>
        <w:numPr>
          <w:ilvl w:val="0"/>
          <w:numId w:val="2"/>
        </w:numPr>
        <w:tabs>
          <w:tab w:val="left" w:pos="1369"/>
        </w:tabs>
        <w:autoSpaceDE w:val="0"/>
        <w:autoSpaceDN w:val="0"/>
        <w:spacing w:before="1" w:after="0" w:line="240" w:lineRule="auto"/>
        <w:ind w:left="0" w:right="522" w:firstLine="566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Apartado 3: «Los datos personales mencionados en el apartado 2, letra d), del presente artículo solo serán tratados por los Estados miembros y por la Comisión a los efectos y duración de la correspondiente auditoría de la aprobación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gestión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presupuestaria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y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procedimientos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control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relacionados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utilización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fondos relacionados con la aplicación de los acuerdos a que se refieren los artículos 15, apartado 2, y 23, apartado 1. En el marco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procedimiento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aprobación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gestión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la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Comisión,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conformidad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con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artículo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319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TFUE,</w:t>
      </w:r>
      <w:r w:rsidRPr="000C6959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0C6959" w:rsidRDefault="000C6959" w:rsidP="000C6959">
      <w:pPr>
        <w:widowControl w:val="0"/>
        <w:autoSpaceDE w:val="0"/>
        <w:autoSpaceDN w:val="0"/>
        <w:spacing w:before="84" w:after="0" w:line="240" w:lineRule="auto"/>
        <w:rPr>
          <w:rFonts w:eastAsia="Verdana" w:cstheme="minorHAnsi"/>
          <w:sz w:val="24"/>
          <w:szCs w:val="24"/>
        </w:rPr>
      </w:pPr>
    </w:p>
    <w:p w:rsidR="00F3643E" w:rsidRDefault="00F3643E" w:rsidP="000C6959">
      <w:pPr>
        <w:widowControl w:val="0"/>
        <w:autoSpaceDE w:val="0"/>
        <w:autoSpaceDN w:val="0"/>
        <w:spacing w:before="84"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COMO PERCEPTORA FINAL DE LOS FONDOS, APORTA EN DOCUMENTOS EN FORMATO EXCEL: </w:t>
      </w:r>
    </w:p>
    <w:p w:rsidR="00F3643E" w:rsidRDefault="00F3643E" w:rsidP="00F3643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84"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Los nombres y datos de identificación de las personas físicas o entidades proveedoras de bienes y servicios destinados al citado proyecto.</w:t>
      </w:r>
    </w:p>
    <w:p w:rsidR="00F3643E" w:rsidRDefault="00F3643E" w:rsidP="00F3643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84" w:after="0" w:line="240" w:lineRule="auto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Los nombres, apellidos y fechas de nacimiento de los titulares reales de las citadas personas físicas o entidades, aportados por cada una de ellas, con copia del acta notarial que acredite el/los titular/es real/es del contrato en el caso de que el adjudicatario o dicho destinatario final sea una sociedad mercantil de conformidad con lo establecido en el art. 10 de la Orden </w:t>
      </w:r>
      <w:r w:rsidRPr="0050576F">
        <w:rPr>
          <w:rFonts w:eastAsia="Verdana" w:cstheme="minorHAnsi"/>
          <w:sz w:val="24"/>
          <w:szCs w:val="24"/>
        </w:rPr>
        <w:t>1031/2021</w:t>
      </w:r>
      <w:r>
        <w:rPr>
          <w:rFonts w:eastAsia="Verdana" w:cstheme="minorHAnsi"/>
          <w:sz w:val="24"/>
          <w:szCs w:val="24"/>
        </w:rPr>
        <w:t xml:space="preserve"> de 29 de septiembre.</w:t>
      </w:r>
    </w:p>
    <w:p w:rsidR="00F3643E" w:rsidRDefault="00F3643E" w:rsidP="00F3643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84" w:after="0" w:line="240" w:lineRule="auto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Los datos de las personas miembros de la Junta Directiva de la entidad/equipo de gobierno de la Corporación Local</w:t>
      </w:r>
      <w:r w:rsidR="0050576F">
        <w:rPr>
          <w:rFonts w:eastAsia="Verdana" w:cstheme="minorHAnsi"/>
          <w:sz w:val="24"/>
          <w:szCs w:val="24"/>
        </w:rPr>
        <w:t xml:space="preserve"> con la información requerida en el inciso iii del punto 1 del presente documento. </w:t>
      </w:r>
    </w:p>
    <w:p w:rsidR="0050576F" w:rsidRPr="0050576F" w:rsidRDefault="0050576F" w:rsidP="0050576F">
      <w:pPr>
        <w:widowControl w:val="0"/>
        <w:autoSpaceDE w:val="0"/>
        <w:autoSpaceDN w:val="0"/>
        <w:spacing w:before="84" w:after="0" w:line="240" w:lineRule="auto"/>
        <w:jc w:val="both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Así mismo, se compromete a presentar dicha documentación en cualquier otro formato en el que pueda serle requerido por el órgano concedente de la subvención. </w:t>
      </w:r>
    </w:p>
    <w:p w:rsidR="000C6959" w:rsidRP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E1764" w:rsidRDefault="00BE1764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E1764" w:rsidRDefault="00BE1764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B1161" w:rsidRPr="00F1593A" w:rsidRDefault="00BB1161" w:rsidP="00BB1161">
      <w:pPr>
        <w:jc w:val="center"/>
        <w:rPr>
          <w:b/>
          <w:sz w:val="20"/>
          <w:szCs w:val="20"/>
        </w:rPr>
      </w:pPr>
      <w:r w:rsidRPr="00F1593A">
        <w:rPr>
          <w:sz w:val="20"/>
          <w:szCs w:val="20"/>
        </w:rPr>
        <w:t>(Documento fechado y firmado electrónicamente al margen)</w:t>
      </w:r>
    </w:p>
    <w:p w:rsidR="00BB1161" w:rsidRPr="00F1593A" w:rsidRDefault="00F1593A" w:rsidP="00BB1161">
      <w:pPr>
        <w:widowControl w:val="0"/>
        <w:autoSpaceDE w:val="0"/>
        <w:autoSpaceDN w:val="0"/>
        <w:spacing w:after="0"/>
        <w:ind w:left="1" w:right="526"/>
        <w:jc w:val="center"/>
        <w:rPr>
          <w:rFonts w:eastAsia="Verdana" w:cstheme="minorHAnsi"/>
          <w:color w:val="302C2D"/>
          <w:sz w:val="20"/>
          <w:szCs w:val="20"/>
        </w:rPr>
      </w:pPr>
      <w:r>
        <w:rPr>
          <w:rFonts w:eastAsia="Verdana" w:cstheme="minorHAnsi"/>
          <w:color w:val="302C2D"/>
          <w:sz w:val="20"/>
          <w:szCs w:val="20"/>
        </w:rPr>
        <w:t>EL ALCALDE O PERSONA EN QUIEN DELEGUE/REPRESENTANTE LEGAL DE LA ENTIDAD</w:t>
      </w:r>
    </w:p>
    <w:sectPr w:rsidR="00BB1161" w:rsidRPr="00F1593A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1A49563E" wp14:editId="0A7E5A93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D15"/>
    <w:multiLevelType w:val="hybridMultilevel"/>
    <w:tmpl w:val="270EB94E"/>
    <w:lvl w:ilvl="0" w:tplc="FE244A70">
      <w:start w:val="4"/>
      <w:numFmt w:val="bullet"/>
      <w:lvlText w:val="-"/>
      <w:lvlJc w:val="left"/>
      <w:pPr>
        <w:ind w:left="1065" w:hanging="360"/>
      </w:pPr>
      <w:rPr>
        <w:rFonts w:ascii="Calibri" w:eastAsia="Verdan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54299"/>
    <w:rsid w:val="000C6959"/>
    <w:rsid w:val="000D386B"/>
    <w:rsid w:val="00252AC5"/>
    <w:rsid w:val="00276CD3"/>
    <w:rsid w:val="00296B34"/>
    <w:rsid w:val="002A53CA"/>
    <w:rsid w:val="002F09B8"/>
    <w:rsid w:val="003133E3"/>
    <w:rsid w:val="00344AF1"/>
    <w:rsid w:val="00395BD4"/>
    <w:rsid w:val="004316FE"/>
    <w:rsid w:val="004370A7"/>
    <w:rsid w:val="00446ABC"/>
    <w:rsid w:val="004A0D99"/>
    <w:rsid w:val="004E4847"/>
    <w:rsid w:val="004F2574"/>
    <w:rsid w:val="0050576F"/>
    <w:rsid w:val="00561232"/>
    <w:rsid w:val="006D6980"/>
    <w:rsid w:val="00711217"/>
    <w:rsid w:val="007F2822"/>
    <w:rsid w:val="007F77DB"/>
    <w:rsid w:val="00886503"/>
    <w:rsid w:val="00887596"/>
    <w:rsid w:val="008A22D3"/>
    <w:rsid w:val="008F7A8C"/>
    <w:rsid w:val="00945EA8"/>
    <w:rsid w:val="00976B8C"/>
    <w:rsid w:val="009F2D77"/>
    <w:rsid w:val="00A13CA2"/>
    <w:rsid w:val="00A90906"/>
    <w:rsid w:val="00AC7A04"/>
    <w:rsid w:val="00AD145A"/>
    <w:rsid w:val="00B015B0"/>
    <w:rsid w:val="00BA3241"/>
    <w:rsid w:val="00BB1161"/>
    <w:rsid w:val="00BE1764"/>
    <w:rsid w:val="00C025A3"/>
    <w:rsid w:val="00C25B71"/>
    <w:rsid w:val="00CB680F"/>
    <w:rsid w:val="00D07E69"/>
    <w:rsid w:val="00D57935"/>
    <w:rsid w:val="00D57BEA"/>
    <w:rsid w:val="00DC5289"/>
    <w:rsid w:val="00DD60B8"/>
    <w:rsid w:val="00DF1ACE"/>
    <w:rsid w:val="00E05D80"/>
    <w:rsid w:val="00E16977"/>
    <w:rsid w:val="00E84C70"/>
    <w:rsid w:val="00E95147"/>
    <w:rsid w:val="00F1593A"/>
    <w:rsid w:val="00F3643E"/>
    <w:rsid w:val="00F7088C"/>
    <w:rsid w:val="00F7560E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6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1D41-9085-4B1D-A440-01947712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2</cp:revision>
  <dcterms:created xsi:type="dcterms:W3CDTF">2025-05-14T10:02:00Z</dcterms:created>
  <dcterms:modified xsi:type="dcterms:W3CDTF">2025-05-14T10:02:00Z</dcterms:modified>
</cp:coreProperties>
</file>